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331. “租房时代，住得有品质”——品牌长租公寓租住体验与续租意愿研究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建议地区：成都（可按省/市细化抽样框）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研究对象：在品牌长租公寓/保租房居住的 18—35 岁租客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核心问题/变量：租房动机（省心/品质/通勤）、公寓vs房东直租对比、租金承受、服务满意度（维修/管家）、续租意愿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H1：租房动机（省心/品质/通勤）、公寓vs房东直租对比显著影响续租意愿（待验证）；H2：不同人群（年龄/收入/城市等级）在上述关系中存在调节作用（待验证）。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上半年重点10城租金V型反转、三居成交量环比+15%、全国租金中位数约1700元/月（+1.19%）；✅保租房REITs常态化：9只公募REITs、二季度租金收缴率均值99.27%；✅武汉长租公寓规模+40%、成都租金-7%买方市场（媒体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泊寓/冠寓/自如等公寓门店渠道；贴近毕业生评委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上半年重点10城租金V型反转、三居成交量环比+15%、全国租金中位数约1700元/月（+1.19%）；✅保租房REITs常态化：9只公募REITs、二季度租金收缴率均值99.27%；✅武汉长租公寓规模+40%、成都租金-7%买方市场（媒体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