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332. “保租房，青年安居新选择”——保障性租赁住房申请意愿与青年接受度研究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研究对象：新市民/青年（应届毕业生/外来务工）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核心问题/变量：保租房知晓、申请意愿、价格接受（不高于市场价90%）、区位配套偏好、vs市场租房对比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H1：保租房知晓、申请意愿（vs市场租房对比）之间存在可检验的关系，且受群体差异（年龄/收入/地区/身份）调节（待验证）；H2：保租房知晓、申请意愿是影响vs市场租房对比的关键因素（待验证）。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✅深圳2026年计划供应保障房4万套、建设筹集3万套；上海计划新增保障性租赁住房5万套；✅济南2026年1月起保障房租金不高于同地段市场租金90%、水电气暖按居民价格；✅珠海集体用地建保障房新规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毕业季招聘会/保租房项目渠道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✅深圳2026年计划供应保障房4万套、建设筹集3万套；上海计划新增保障性租赁住房5万套；✅济南2026年1月起保障房租金不高于同地段市场租金90%、水电气暖按居民价格；✅珠海集体用地建保障房新规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