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333. “整装拎包住，家装新玩法”——家装整装（全包、拎包入住）消费意愿研究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建议地区：上海（可按省/市细化抽样框）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研究对象：近两年装修或计划装修的业主（新房/二手房）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核心问题/变量：装修方式选择（整装/半包/清包）、整装认知与信任、预算、增项顾虑、满意度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装修方式选择（整装/半包/清包）、整装认知与信任（满意度）之间存在可检验的关系，且受群体差异（年龄/收入/地区/身份）调节（待验证）；H2：装修方式选择（整装/半包/清包）、整装认知与信任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✅上海2026年家装市场预计1284亿元、存量翻新占比首超新房、全屋整装渗透率81.29%；✅广州2026年预计突破560亿元、整装渗透率近50%；✅老房翻新、局部改造是核心增长点（中研网）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装修公司/建材市场渠道；与267题（智能家居）区分：聚焦装修业态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✅上海2026年家装市场预计1284亿元、存量翻新占比首超新房、全屋整装渗透率81.29%；✅广州2026年预计突破560亿元、整装渗透率近50%；✅老房翻新、局部改造是核心增长点（中研网）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