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334. “老房翻新，旧屋新生”——存量房局部改造消费需求与施工痛点研究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研究对象：对老房进行过翻新/局部改造（厨卫/水电）的业主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核心问题/变量：翻新动机（老化/适老/功能）、改造项目（厨卫/墙地面）、预算、施工痛点（扰民/工期）、满意度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H1：翻新动机（老化/适老/功能）、改造项目（厨卫/墙地面）显著影响满意度（待验证）；H2：不同人群（年龄/收入/城市等级）在上述关系中存在调节作用（待验证）。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✅存量房翻新需求占比首超新房（上海）、广州存量翻新占55%；✅行业从"营销获客"转向"交付+口碑"驱动；🔶存量房改造市场规模（行业报告需核验）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装修平台/物业渠道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✅存量房翻新需求占比首超新房（上海）、广州存量翻新占55%；✅行业从"营销获客"转向"交付+口碑"驱动；🔶存量房改造市场规模（行业报告需核验）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