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335. “加装电梯，幸福上楼”——老旧小区加装电梯参与意愿与出资接受度研究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研究对象：老旧小区 55+ 居民（多层无电梯）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核心问题/变量：加装意愿、出资方式接受（政府补贴/按层分摊）、邻里协调难点（低层反对）、推进满意度、适老改造需求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装意愿、出资方式接受（政府补贴/按层分摊）（适老改造需求）之间存在可检验的关系，且受群体差异（年龄/收入/地区/身份）调节（待验证）；H2：加装意愿、出资方式接受（政府补贴/按层分摊）是影响适老改造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🔶加装电梯补贴政策（住建部/地方政府）；✅居家适老化改造纳入以旧换新补贴（北京2026，第五六轮证据）；✅"十四五"老旧小区改造规划（背景）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老旧小区社区渠道；民生切入口评接近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🔶加装电梯补贴政策（住建部/地方政府）；✅居家适老化改造纳入以旧换新补贴（北京2026，第五六轮证据）；✅"十四五"老旧小区改造规划（背景）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