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390. “屋顶阳台种菜，都市农夫”——城市家庭阳台种植消费行为与参与动机研究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研究对象：有阳台/屋顶种植习惯的城市居民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核心问题/变量：种植品类（蔬菜/香草/多肉）、投入（种子/花盆/土）、动机（健康/解压/省钱）、产出用途、社群交流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H1：种植品类（蔬菜/香草/多肉）、投入（种子/花盆/土）显著影响社群交流（待验证）；H2：不同人群（年龄/收入/城市等级）在上述关系中存在调节作用（待验证）。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🔶城市家庭园艺市场（淘宝/京东园艺数据需核验）；✅"治愈系"消费与情绪经济（已核验27186亿）；✅屋顶绿化/立体绿化政策（住建部背景）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园艺电商用户+社区种植社群渠道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🔶城市家庭园艺市场（淘宝/京东园艺数据需核验）；✅"治愈系"消费与情绪经济（已核验27186亿）；✅屋顶绿化/立体绿化政策（住建部背景）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