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420. “口袋公园，家门口的幸福”——口袋公园使用行为与建设需求研究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研究对象：经常使用小区旁口袋公园/小微绿地的居民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核心问题/变量：使用时段（晨练/遛娃/社交）、设施需求（座椅/健身/遮阴）、建设评价、参与式规划意愿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H1：使用时段（晨练/遛娃/社交）、设施需求（座椅/健身/遮阴）显著影响参与式规划意愿（待验证）；H2：不同人群（年龄/收入/城市等级）在上述关系中存在调节作用（待验证）。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🔶口袋公园建设（住建部"千园之城"政策背景需核验）；✅"公园20分钟效应"（媒体热议）；✅城市更新与微更新（334题衔接）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口袋公园现场问卷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🔶口袋公园建设（住建部"千园之城"政策背景需核验）；✅"公园20分钟效应"（媒体热议）；✅城市更新与微更新（334题衔接）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