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426. “青年养老院，提前‘退休’”——青年养老式居住参与动机与消费结构调查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 岁参与或关注“青年养老院/养老式生活”的青年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核心问题/变量：参与动机（躺平/低消费/心理疗愈）、居住体验、消费结构与月支出、与主流奋斗叙事的冲突认知、持续居住意愿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躺平/低消费/心理疗愈）、居住体验（持续居住意愿）之间存在可检验的关系，且受群体差异（年龄/收入/地区/身份）调节（待验证）；H2：参与动机（躺平/低消费/心理疗愈）、居住体验是影响持续居住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🔶“青年养老院”现象报道与案例（主流媒体，须下载核验）；✅青年消费降级/悦己趋势数据（权威媒体）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小红书/抖音社群招募+实地案例（云南、安徽等网红院）访谈；区别于035（一人食）与116（数字戒断）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🔶“青年养老院”现象报道与案例（主流媒体，须下载核验）；✅青年消费降级/悦己趋势数据（权威媒体）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