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570. “阳台种菜，都市田园”——阳台种菜的消费动机与智能设备购买意愿研究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研究对象：在阳台/窗台种菜养花的城市居民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核心问题/变量：家庭种植动机（健康/解压/亲子）、种子/土/盆器具消费、智能种植设备（水培机）购买、收获分享与社群、种植坚持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H1：家庭种植动机（健康/解压/亲子）、种子/土/盆器具消费显著影响种植坚持（待验证）；H2：不同人群（年龄/收入/城市等级）在上述关系中存在调节作用（待验证）。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🔶家庭园艺市场数据（行业报告须下载核验）；✅城市绿化与绿色生活政策（住建部）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园艺社群问卷+电商评价分析；区别于513（垂直农场）聚焦家庭场景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🔶家庭园艺市场数据（行业报告须下载核验）；✅城市绿化与绿色生活政策（住建部）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