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572. “老房改造，家的二次青春”——老房翻新的改造动机与施工满意度研究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研究对象：进行老房翻新/局部改造（厨卫/阳台）的业主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核心问题/变量：老房改造动机（居住品质/适老/换新）、局改vs全改决策、旧房改造施工痛点、费用与补贴、改造满意度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房改造动机（居住品质/适老/换新）、局改vs全改决策（改造满意度）之间存在可检验的关系，且受群体差异（年龄/收入/地区/身份）调节（待验证）；H2：老房改造动机（居住品质/适老/换新）、局改vs全改决策是影响改造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🔶存量房改造市场数据（行业报告须下载核验）；✅老旧小区改造政策（住建部）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装修企业渠道+业主社群问卷；区别于333（整装）聚焦存量局改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🔶存量房改造市场数据（行业报告须下载核验）；✅老旧小区改造政策（住建部）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