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573. “租来的精致，改造出租屋”——出租屋改造的消费行为与房东配合度评价研究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研究对象：改造出租屋（贴纸/家具/软装）的租房青年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核心问题/变量：出租屋改造动机（居住幸福/社交展示）、低成本改造策略、便携可带走改造品消费、房东配合度、退租处理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H1：出租屋改造动机（居住幸福/社交展示）、低成本改造策略显著影响退租处理（待验证）；H2：不同人群（年龄/收入/城市等级）在上述关系中存在调节作用（待验证）。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🔶出租屋改造话题数据（小红书/电商报告须下载核验）；✅租赁住房品质政策（住建部）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租房青年社群问卷+家居电商数据；区别于571（合租公约）聚焦改造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🔶出租屋改造话题数据（小红书/电商报告须下载核验）；✅租赁住房品质政策（住建部）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