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574. “口袋公园，转角遇见绿”——城市口袋公园的使用行为与建设满意度研究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研究对象：使用口袋公园/社区微公园的市民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核心问题/变量：口袋公园使用频次与时段、功能需求（健身/遛娃/社交）、可达性、建设满意度、参与共建意愿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口袋公园使用频次与时段、功能需求（健身/遛娃/社交）（参与共建意愿）之间存在可检验的关系，且受群体差异（年龄/收入/地区/身份）调节（待验证）；H2：口袋公园使用频次与时段、功能需求（健身/遛娃/社交）是影响参与共建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✅口袋公园建设政策（住建部）；🔶城市微更新案例数据（须下载核验）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公园实地问卷+城管/园林部门访谈；区别于024（宠物友好社区）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✅口袋公园建设政策（住建部）；🔶城市微更新案例数据（须下载核验）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