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575. “以旧换新，家电大焕新”——家电以旧换新政策下居民换新决策与旧机处置行为研究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研究对象：参与家电以旧换新补贴的消费者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核心问题/变量：换新动机（补贴/能耗/功能）、补贴申领体验、品类偏好（空调/冰箱/厨电）、旧机回收处理、政策满意度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H1：换新动机（补贴/能耗/功能）、补贴申领体验显著影响政策满意度（待验证）；H2：不同人群（年龄/收入/城市等级）在上述关系中存在调节作用（待验证）。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✅以旧换新实施方案（发改委、商务部）；🔶家电换新销量数据（行业报告须下载核验）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家电卖场问卷+品牌渠道访谈；区别于064（政策红利期）聚焦家电品类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✅以旧换新实施方案（发改委、商务部）；🔶家电换新销量数据（行业报告须下载核验）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