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610. “租房押金监管，租金安全”——住房租赁资金监管（押金、租金）感知研究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研究对象：通过长租平台/中介租房的租客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核心问题/变量：押金被扣押经历、资金监管账户知晓度、平台暴雷担忧、押金付三押一意愿、政策保护感知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押金被扣押经历、资金监管账户知晓度（政策保护感知）之间存在可检验的关系，且受群体差异（年龄/收入/地区/身份）调节（待验证）；H2：押金被扣押经历、资金监管账户知晓度是影响政策保护感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✅住房租赁资金监管政策（住建部、地方条例）；🔶租赁纠纷数据（消协须下载核验）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租客社群问卷+中介访谈；获奖黑名单核对：近三年无押金监管获奖题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✅住房租赁资金监管政策（住建部、地方条例）；🔶租赁纠纷数据（消协须下载核验）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