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061. “国补焕新，家电升级”——以旧换新补贴申领体验与换新满意度研究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研究对象：近一年参与过家电以旧换新的居民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核心问题/变量：政策知晓度、参与行为、感知补贴价值、换新满意度、再购意愿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H1：政策知晓度、参与行为（再购意愿）之间存在可检验的关系，且受群体差异（年龄/收入/地区/身份）调节（待验证）；H2：政策知晓度、参与行为是影响再购意愿的关键因素（待验证）。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✅商务部等7部门《关于提质增效实施2026年消费品以旧换新政策的通知》（商消费函〔2025〕697号）：6类家电按售价15%补贴、单件最高1500元；✅截至2026年6月带动家电及数码销售超1.3亿台、销售额4500多亿元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家电卖场/电商以旧换新专区渠道可触达；政策热度高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✅商务部等7部门《关于提质增效实施2026年消费品以旧换新政策的通知》（商消费函〔2025〕697号）：6类家电按售价15%补贴、单件最高1500元；✅截至2026年6月带动家电及数码销售超1.3亿台、销售额4500多亿元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