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627. “全屋定制甲醛，环保焦虑”——家装环保（甲醛治理、环保板材）消费研究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研究对象：近期装修并关注环保（除醛服务/环保建材）的业主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核心问题/变量：甲醛焦虑程度、环保板材/家具溢价接受、除醛服务（检测/治理）消费、入住前晾置习惯、儿童健康考量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H1：甲醛焦虑程度、环保板材/家具溢价接受显著影响儿童健康考量（待验证）；H2：不同人群（年龄/收入/城市等级）在上述关系中存在调节作用（待验证）。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✅室内空气质量标准（生态环境部）；🔶除醛服务市场数据（行业报告须下载核验）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装修社群问卷+治理机构访谈；获奖黑名单核对：近三年无家装除醛获奖题（区别于老房改造）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✅室内空气质量标准（生态环境部）；🔶除醛服务市场数据（行业报告须下载核验）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