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062. “手机换新，补贴助力”——数码智能产品购新补贴下消费者换机意愿与品牌偏好研究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确定行业：08_居住与城市更新（选择理由：贴合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研究对象：18—40岁近一年购买手机/平板/智能穿戴的消费者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核心问题/变量：补贴感知、价格敏感度、以旧换旧意愿、品牌偏好（国产/进口）、购新意愿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H1：补贴感知、价格敏感度显著影响购新意愿（待验证）；H2：不同人群（年龄/收入/城市等级）在上述关系中存在调节作用（待验证）。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✅4类数码智能产品（手机/平板/智能手表手环/智能眼镜）单价≤6000元按15%补贴、最高500元（商办流通函〔2025〕469号）；✅2026年智能眼镜首次纳入补贴（国际在线）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线上社群（数码爱好者）+线下体验店渠道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✅4类数码智能产品（手机/平板/智能手表手环/智能眼镜）单价≤6000元按15%补贴、最高500元（商办流通函〔2025〕469号）；✅2026年智能眼镜首次纳入补贴（国际在线）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