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837. “租房结婚，裸婚新选择”——青年租房结婚接受度与住房消费偏好调查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研究对象：租房结婚/计划租房结婚的年轻人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核心问题/变量：租房结婚接受度、与买房结婚对比（彩礼/首付压力）、双方家庭观念、租房品质（长租公寓）、未来购房计划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租房结婚接受度、与买房结婚对比（彩礼/首付压力）（未来购房计划）之间存在可检验的关系，且受群体差异（年龄/收入/地区/身份）调节（待验证）；H2：租房结婚接受度、与买房结婚对比（彩礼/首付压力）是影响未来购房计划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🔶住房租赁政策（住建部）；🔶青年婚育观念调查数据（须下载核验）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青年社群问卷+长租平台访谈；获奖黑名单核对：近三年无租房结婚获奖题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🔶住房租赁政策（住建部）；🔶青年婚育观念调查数据（须下载核验）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