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886. “保租房申请，新市民安居”——新市民保租房居住满意度与续租意愿研究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确定行业：08_居住与城市更新（选择理由：贴合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研究对象：申请/入住保障性租赁住房（保租房）的新市民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核心问题/变量：保租房申请条件与流程、租金优势（低于市场）、房源配套（通勤/设施）、与市场化长租对比、居住满意度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保租房申请条件与流程、租金优势（低于市场）（居住满意度）之间存在可检验的关系，且受群体差异（年龄/收入/地区/身份）调节（待验证）；H2：保租房申请条件与流程、租金优势（低于市场）是影响居住满意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🔶保障性租赁住房政策（国务院、住建部）；🔶保租房建设数据（住建部发布须下载核验）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保租房项目问卷+运营方访谈；获奖黑名单核对：近三年无保租房获奖题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🔶保障性租赁住房政策（国务院、住建部）；🔶保租房建设数据（住建部发布须下载核验）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