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913. “老房子加装电梯，一票难求”——老旧小区居民加装电梯的参与意愿及其影响因素调查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研究对象：经历加装电梯（成功/失败）的老旧小区居民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核心问题/变量：加装电梯意愿（高层vs低层）、费用分摊方案、采光/噪音顾虑、施工协调、政策补贴、加装后便利度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装电梯意愿（高层vs低层）、费用分摊方案（加装后便利度）之间存在可检验的关系，且受群体差异（年龄/收入/地区/身份）调节（待验证）；H2：加装电梯意愿（高层vs低层）、费用分摊方案是影响加装后便利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🔶老旧小区加装电梯政策（住建部、地方条例）；🔶加装电梯数据（须下载核验）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小区问卷+街道/电梯企业访谈；获奖黑名单核对：近三年无加装电梯获奖题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🔶老旧小区加装电梯政策（住建部、地方条例）；🔶加装电梯数据（须下载核验）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