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933. “长租公寓暴雷后，租金贷警示”——长租公寓租金贷的风险认知及后续租房意愿调查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研究对象：经历长租公寓暴雷/租金贷纠纷的租客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核心问题/变量：租金贷签约经历（年付/贷款）、暴雷后租金损失、维权渠道（警方/法院）、风险识别（高收低租）、后续租房选择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金贷签约经历（年付/贷款）、暴雷后租金损失（后续租房选择）之间存在可检验的关系，且受群体差异（年龄/收入/地区/身份）调节（待验证）；H2：租金贷签约经历（年付/贷款）、暴雷后租金损失是影响后续租房选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🔶长租公寓资金监管政策（住建部、金融监管总局）；🔶租金贷风险案例（须下载核验）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租客社群问卷+住建部门访谈；获奖黑名单核对：近三年无长租暴雷获奖题（区别于610押金监管，聚焦租金贷）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🔶长租公寓资金监管政策（住建部、金融监管总局）；🔶租金贷风险案例（须下载核验）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