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967. “城中村改造，新市民安家”——城中村改造（拆整结合）安置方式选择偏好与居民满意度研究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建议地区：城中村（可按省/市细化抽样框）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研究对象：经历城中村改造的居民（回迁/货币安置）、改造运营方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核心问题/变量：改造模式（拆除/整治）、安置方式选择（回迁房/补偿金）、过渡期生活、改造后租金/房价变化、新市民就业居住、满意度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改造模式（拆除/整治）、安置方式选择（回迁房/补偿金）（满意度）之间存在可检验的关系，且受群体差异（年龄/收入/地区/身份）调节（待验证）；H2：改造模式（拆除/整治）、安置方式选择（回迁房/补偿金）是影响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🔶城中村改造政策（国务院、住建部）；🔶城中村改造数据（须下载核验）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改造片区问卷+住建部门访谈；获奖黑名单核对：近三年无城中村改造获奖题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🔶城中村改造政策（国务院、住建部）；🔶城中村改造数据（须下载核验）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