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984. “全屋智能家居，改造门槛”——全屋智能家居改造支付意愿与使用满意度调查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研究对象：装修时配置全屋智能（灯光/窗帘/安防）的家庭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核心问题/变量：全屋智能配置预算（万元级）、品牌生态选择（米家/华为）、布线安装复杂度、语音/App使用、故障与售后、满意度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H1：全屋智能配置预算（万元级）、品牌生态选择（米家/华为）显著影响满意度（待验证）；H2：不同人群（年龄/收入/城市等级）在上述关系中存在调节作用（待验证）。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🔶智能家居与全屋智能政策（工信部、住建部）；🔶全屋智能市场数据（行业报告须下载核验）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装修渠道问卷+智能家居服务商访谈；获奖黑名单核对：近三年无全屋智能获奖题（区别于298智能家居泛题，聚焦整装改造）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🔶智能家居与全屋智能政策（工信部、住建部）；🔶全屋智能市场数据（行业报告须下载核验）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