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1008. “智驾平权，十万级智驾”——十万级智驾车型购买意愿与安全信任调查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研究对象：购买/考虑15万级带高阶智驾车型的消费者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核心问题/变量：智驾配置购车权重、城市NOA（领航辅助）使用频次、智驾安全信任、与传统配置取舍、品牌智驾标签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H1：智驾配置购车权重、城市NOA（领航辅助）使用频次显著影响品牌智驾标签（待验证）；H2：不同人群（年龄/收入/城市等级）在上述关系中存在调节作用（待验证）。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🔶智能网联汽车准入与智驾政策（工信部）；🔶智驾车型销量数据（须下载核验）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车友群问卷+4S店试驾统计；获奖黑名单核对：近三年无智驾平权获奖题（区别于418 Robotaxi，聚焦购车配置决策）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🔶智能网联汽车准入与智驾政策（工信部）；🔶智驾车型销量数据（须下载核验）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