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1009. “小米SU7效应，生态造车”——小米汽车购买动机与生态产品消费意愿调查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研究对象：小米汽车车主/准车主、小米生态用户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核心问题/变量：买车动机（生态联动/雷总IP/性价比）、手机车机互联使用、交付与售后体验、生态产品（米家联动）消费、口碑传播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H1：买车动机（生态联动/雷总IP/性价比）、手机车机互联使用显著影响口碑传播（待验证）；H2：不同人群（年龄/收入/城市等级）在上述关系中存在调节作用（待验证）。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🔶小米汽车销量与交付数据（企业公告须下载核验）；✅智能网联汽车产业政策（工信部）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车主社群问卷+交付中心访谈；获奖黑名单核对：近三年无小米汽车获奖题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🔶小米汽车销量与交付数据（企业公告须下载核验）；✅智能网联汽车产业政策（工信部）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