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1086. “电池终身质保，羊毛还是套路”——新能源车电池终身质保政策的条款认知与购车决策影响研究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确定行业：09_汽车与出行（选择理由：贴合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研究对象：关注电池终身质保条款的新能源车主与准车主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核心问题/变量：电池质保条款（终身vs首任）、衰减阈值（70%）、质保免责（事故/充电习惯）、换电池成本、4S店解释、购车决策权重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H1：电池质保条款（终身vs首任）、衰减阈值（70%）显著影响购车决策权重（待验证）；H2：不同人群（年龄/收入/城市等级）在上述关系中存在调节作用（待验证）。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🔶新能源汽车电池质保规范与召回（市场监管总局）；🔶电池质保争议案例（须下载核验）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车主社群问卷+4S店访谈；获奖黑名单核对：近三年无电池质保获奖题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🔶新能源汽车电池质保规范与召回（市场监管总局）；🔶电池质保争议案例（须下载核验）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