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1136. “油车还有戏吗，燃油车最后的倔强”——购车者油电选择影响因素及购买意愿调查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研究对象：购车时纠结燃油车vs新能源的消费者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核心问题/变量：油电选择考量（补能/保值/驾驶感）、燃油车降价促销、新能源渗透率（超50%）、家庭第二台车、政策导向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H1：油电选择考量（补能/保值/驾驶感）、燃油车降价促销显著影响政策导向（待验证）；H2：不同人群（年龄/收入/城市等级）在上述关系中存在调节作用（待验证）。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🔶汽车产业转型政策（工信部）；🔶油电市场数据（中汽协须下载核验）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4S店问卷+汽车数据机构访谈；获奖黑名单核对：近三年无油电选择获奖题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🔶汽车产业转型政策（工信部）；🔶油电市场数据（中汽协须下载核验）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