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1138. “二手车年轻化，第一台车首选”——年轻首购族二手车购买动机及车况信任调查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研究对象：购买二手车的年轻首购族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核心问题/变量：二手车首购动机（练手/性价比）、车况信任（第三方检测/质保）、二手车平台（官方认证）、金融分期、踩坑经历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H1：二手车首购动机（练手/性价比）、车况信任（第三方检测/质保）显著影响踩坑经历（待验证）；H2：不同人群（年龄/收入/城市等级）在上述关系中存在调节作用（待验证）。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🔶二手车流通与限迁取消政策（商务部）；🔶二手车市场数据（中国汽车流通协会须下载核验）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二手车平台用户问卷+车商访谈；获奖黑名单核对：近三年无二手车年轻化获奖题（区别于70官方认证二手机、981二手出口，聚焦青年首购）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🔶二手车流通与限迁取消政策（商务部）；🔶二手车市场数据（中国汽车流通协会须下载核验）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