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212. “充电焦虑，何时清零”——新能源车主充电桩使用体验与服务升级需求研究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研究对象：新能源车主（家用桩/公共桩使用者）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核心问题/变量：充电频次、找桩排队痛点、快慢充偏好、服务费接受、光储充/超充期待、满意度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H1：充电频次、找桩排队痛点（满意度）之间存在可检验的关系，且受群体差异（年龄/收入/地区/身份）调节（待验证）；H2：充电频次、找桩排队痛点是影响满意度的关键因素（待验证）。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✅国家"三年倍增"行动：2027年底建成2800万个充电设施、超3亿千瓦公共充电容量；✅光储充一体化、大功率超充、V2G车网互动为技术方向（中研网）；✅中国充电联盟数据（🔶最新口径待核）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充电桩现场问卷+新能源车主社群；与61/63（以旧换新购车）区分：聚焦使用后服务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✅国家"三年倍增"行动：2027年底建成2800万个充电设施、超3亿千瓦公共充电容量；✅光储充一体化、大功率超充、V2G车网互动为技术方向（中研网）；✅中国充电联盟数据（🔶最新口径待核）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