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213. “脱保之后，去哪修车”——新能源车脱保维修的渠道选择与三电专修信任调查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项目类型：社会调查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确定行业：09_汽车与出行（选择理由：贴合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研究对象：车龄3年以上新能源车主及维修从业者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核心问题/变量：脱保认知、维修渠道选择（4S/第三方）、三电专修信任、价格敏感、规范诉求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脱保认知、维修渠道选择（4S/第三方）（规范诉求）之间存在可检验的关系，且受群体差异（年龄/收入/地区/身份）调节（待验证）；H2：脱保认知、维修渠道选择（4S/第三方）是影响规范诉求的关键因素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✅2030年超900万辆新能源车进入脱保期、2032年或突破2000万辆；✅2026年8月《新能源汽车维修作业安全要求》正式实施；✅保外三电专修为高价值赛道（行业分析🔶）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新能源维修门店/车主群渠道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✅2030年超900万辆新能源车进入脱保期、2032年或突破2000万辆；✅2026年8月《新能源汽车维修作业安全要求》正式实施；✅保外三电专修为高价值赛道（行业分析🔶）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