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282. “双城生活，高铁通勤”——双城通勤的成本承受与高铁月票接受度调查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研究对象：跨城通勤（高铁/城际）的上班族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核心问题/变量：双城通勤动机（房价/岗位）、通勤成本（车票/时间）、高铁月票接受、生活安排、满意度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双城通勤动机（房价/岗位）、通勤成本（车票/时间）（满意度）之间存在可检验的关系，且受群体差异（年龄/收入/地区/身份）调节（待验证）；H2：双城通勤动机（房价/岗位）、通勤成本（车票/时间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🔶"双城通勤"现象（媒体）；✅高铁网络覆盖（国铁集团数据🔶）；✅都市圈通勤化政策（背景）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高铁站/城际客流渠道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🔶"双城通勤"现象（媒体）；✅高铁网络覆盖（国铁集团数据🔶）；✅都市圈通勤化政策（背景）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