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283. “新国标换购，两轮升级”——电动自行车新国标换购消费行为与换购满意度研究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研究对象：使用电动自行车（含超标车待换）的城市居民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核心问题/变量：车辆现状（超标/合规）、换购意愿、价格敏感、以旧换新补贴知晓、品牌选择、安全认知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车辆现状（超标/合规）、换购意愿（安全认知）之间存在可检验的关系，且受群体差异（年龄/收入/地区/身份）调节（待验证）；H2：车辆现状（超标/合规）、换购意愿是影响安全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✅2026年是电动自行车新国标全面落地后的首个完整年份、行业进入规则重塑期、准入门槛提高（浙江展/行业报道）；🔶以旧换新补贴政策（地方政策待核）；✅电动自行车社会保有量超3.5亿辆（行业背景🔶）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电动车门店/社区渠道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✅2026年是电动自行车新国标全面落地后的首个完整年份、行业进入规则重塑期、准入门槛提高（浙江展/行业报道）；🔶以旧换新补贴政策（地方政策待核）；✅电动自行车社会保有量超3.5亿辆（行业背景🔶）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