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354. “第一辆车，二手也香”——二手车消费行为与信任（新能源二手车）研究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研究对象：购买过或考虑二手车的消费者（含首购族）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核心问题/变量：购车动机（预算/练手/性价比）、渠道选择（平台/车商）、车况信任、新能源二手车接受、价格感知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H1：购车动机（预算/练手/性价比）、渠道选择（平台/车商）显著影响价格感知（待验证）；H2：不同人群（年龄/收入/城市等级）在上述关系中存在调节作用（待验证）。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✅2025年二手车交易量2010.8万辆首次破2000万、新车与二手车比例首次1:1；✅2026上半年新能源二手车83.9万辆（+22%）、三年保值率差距缩小至不足1.3个百分点；✅跨区域流通加速（流入前五省份）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二手车市场（市场/懂车帝等）现场+线上渠道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✅2025年二手车交易量2010.8万辆首次破2000万、新车与二手车比例首次1:1；✅2026上半年新能源二手车83.9万辆（+22%）、三年保值率差距缩小至不足1.3个百分点；✅跨区域流通加速（流入前五省份）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