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355. “贴膜改色，汽车美容经济”——汽车美容改装消费偏好与复购意愿研究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研究对象：做过汽车美容/改装的年轻车主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核心问题/变量：美容项目（贴膜/改色/镀晶）、价格接受、个性表达动机、门店信任、复购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H1：美容项目（贴膜/改色/镀晶）、价格接受显著影响复购（待验证）；H2：不同人群（年龄/收入/城市等级）在上述关系中存在调节作用（待验证）。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🔶汽车改装贴膜市场规模（行业报告需核验）；✅汽车保有量超3.4亿辆（公安部数据🔶）；✅年轻车主个性化消费趋势（媒体）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汽车美容门店/车主社群渠道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🔶汽车改装贴膜市场规模（行业报告需核验）；✅汽车保有量超3.4亿辆（公安部数据🔶）；✅年轻车主个性化消费趋势（媒体）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