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578. “汽车改色膜，个性上路”——汽车改色贴膜的消费动机与备案合规认知研究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研究对象：进行汽车改装/改色贴膜的年轻车主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核心问题/变量：改色动机（个性/潮流）、贴膜与喷漆选择、备案合规认知、改装费用与施工、改装社群与晒车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H1：改色动机（个性/潮流）、贴膜与喷漆选择显著影响改装社群与晒车（待验证）；H2：不同人群（年龄/收入/城市等级）在上述关系中存在调节作用（待验证）。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🔶汽车改装市场规模（行业报告须下载核验）；✅机动车改装登记规范（公安部）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改装店问卷+车主社群；区别于224（自驾租车）聚焦改装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🔶汽车改装市场规模（行业报告须下载核验）；✅机动车改装登记规范（公安部）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