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580. “错峰充电，谷电省钱”——新能源车主错峰充电的认知执行与V2G参与意愿研究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研究对象：新能源汽车车主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核心问题/变量：错峰充电（谷电）认知与执行、充电价格敏感、V2G（车网互动）放电意愿、储能电池顾虑、电网互动激励期待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错峰充电（谷电）认知与执行、充电价格敏感（电网互动激励期待）之间存在可检验的关系，且受群体差异（年龄/收入/地区/身份）调节（待验证）；H2：错峰充电（谷电）认知与执行、充电价格敏感是影响电网互动激励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✅车网互动规模化政策（发改委、能源局）；🔶错峰充电参与数据（行业报告须下载核验）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新能源车主社群问卷+电网企业访谈；区别于238（充电桩布局）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✅车网互动规模化政策（发改委、能源局）；🔶错峰充电参与数据（行业报告须下载核验）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