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620. “购车金融方案，零首付的诱惑”——汽车金融方案认知与零首付购车意愿调查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研究对象：通过汽车金融（零首付/免息/融资租赁）购车的消费者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核心问题/变量：金融方案认知、利率与隐藏费用感知、零首付意向、提前还款条款、纠纷经历、理性决策教育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H1：金融方案认知、利率与隐藏费用感知显著影响理性决策教育（待验证）；H2：不同人群（年龄/收入/城市等级）在上述关系中存在调节作用（待验证）。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✅汽车金融管理办法（央行、金融监管总局）；🔶汽车金融渗透率数据（行业报告须下载核验）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4S店渠道问卷+金融公司访谈；获奖黑名单核对：近三年无汽车金融获奖题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✅汽车金融管理办法（央行、金融监管总局）；🔶汽车金融渗透率数据（行业报告须下载核验）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