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641. “以旧换新补贴，申领体验”——汽车以旧换新补贴申领体验与换新意愿调查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研究对象：申领汽车以旧换新/报废更新补贴的车主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核心问题/变量：补贴政策知晓、申领流程（平台/材料）体验、补贴金额感知、旧车残值处理、换新决策影响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补贴政策知晓、申领流程（平台/材料）体验（换新决策影响）之间存在可检验的关系，且受群体差异（年龄/收入/地区/身份）调节（待验证）；H2：补贴政策知晓、申领流程（平台/材料）体验是影响换新决策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✅汽车以旧换新实施方案（发改委、商务部）；🔶申领数据（商务部发布须下载核验）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车管/4S渠道问卷；获奖黑名单核对：近三年无汽车以旧换新申领获奖题（区别于063置换意愿）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✅汽车以旧换新实施方案（发改委、商务部）；🔶申领数据（商务部发布须下载核验）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