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06. “低空配送，最后一公里”——无人机快递配送公众接受度与使用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快递用户、社区居民和电商消费者。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配送时效、价格、安全风险、隐私顾虑、噪声影响、使用意愿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配送时效、价格显著影响使用意愿。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5，[低空经济 2026 政策与无人机配送检索](https://www.baidu.com/s?wd=%E4%BD%8E%E7%A9%BA%E7%BB%8F%E6%B5%8E%202026%20%E6%94%BF%E7%AD%96%20%E6%97%A0%E4%BA%BA%E6%9C%BA%20%E7%89%A9%E6%B5%81)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比较校园、社区和写字楼三个场景。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5，[低空经济 2026 政策与无人机配送检索](https://www.baidu.com/s?wd=%E4%BD%8E%E7%A9%BA%E7%BB%8F%E6%B5%8E%202026%20%E6%94%BF%E7%AD%96%20%E6%97%A0%E4%BA%BA%E6%9C%BA%20%E7%89%A9%E6%B5%81)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