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762. “二手车分期，年轻人的第一辆车”——二手车金融分期意愿与车况信任研究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研究对象：通过金融方案购买二手车（首购）的年轻人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核心问题/变量：二手车选择动机（预算/练手）、车况信任与第三方检测、分期利率感知、延保服务购买、售后纠纷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H1：二手车选择动机（预算/练手）、车况信任与第三方检测显著影响售后纠纷（待验证）；H2：不同人群（年龄/收入/城市等级）在上述关系中存在调节作用（待验证）。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🔶二手车市场规模（中国汽车流通协会须下载核验）；✅二手车流通政策（商务部）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二手车市场渠道问卷+车商访谈；获奖黑名单核对：近三年无二手车金融获奖题（区别于70官方认证二手机）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🔶二手车市场规模（中国汽车流通协会须下载核验）；✅二手车流通政策（商务部）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