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798. “共享汽车退潮，分时租赁凉了”——共享汽车使用需求与行业前景感知研究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研究对象：曾用共享汽车/分时租赁的用户、行业从业者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核心问题/变量：共享汽车使用场景（短途/应急）、行业退潮（押金难退/车辆减少）感知、押金维权、替代出行（打车/网约）、行业前景看法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H1：共享汽车使用场景（短途/应急）、行业退潮（押金难退/车辆减少）感知显著影响行业前景看法（待验证）；H2：不同人群（年龄/收入/城市等级）在上述关系中存在调节作用（待验证）。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🔶共享汽车行业调整报道（财经媒体须下载核验）；✅分时租赁规范（交通运输部）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共享汽车用户社群问卷+运营方访谈；获奖黑名单核对：近三年无共享汽车获奖题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🔶共享汽车行业调整报道（财经媒体须下载核验）；✅分时租赁规范（交通运输部）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