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811. “汽车出口热，国产车出海”——中国品牌汽车海外市场接受度与购买意愿研究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研究对象：购买中国品牌汽车（海外）的消费者、出口企业从业者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核心问题/变量：国产车出海主力（新能源）、海外消费者接受度（性价比/品牌）、本地化（右舵/充电）、出口国选择（欧洲/东南亚）、贸易壁垒感知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H1：国产车出海主力（新能源）、海外消费者接受度（性价比/品牌）显著影响贸易壁垒感知（待验证）；H2：不同人群（年龄/收入/城市等级）在上述关系中存在调节作用（待验证）。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🔶汽车出口数据（中汽协须下载核验）；✅汽车产业出海政策（商务部、工信部）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出口企业访谈+海外经销商问卷；获奖黑名单核对：近三年无汽车出口获奖题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🔶汽车出口数据（中汽协须下载核验）；✅汽车产业出海政策（商务部、工信部）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