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823. “网约车司机，平台抽成之谜”——网约车司机平台抽成感知与从业意愿研究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研究对象：网约车（全职/兼职）司机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核心问题/变量：平台抽成比例（25%上下）感知、流水与实收、奖励规则变化、疲劳与安全、车辆成本（租车/电车）、退车意愿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平台抽成比例（25%上下）感知、流水与实收（退车意愿）之间存在可检验的关系，且受群体差异（年龄/收入/地区/身份）调节（待验证）；H2：平台抽成比例（25%上下）感知、流水与实收是影响退车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🔶网约车抽成透明化规定（交通运输部）；🔶司机收入报道与数据（须下载核验）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司机社群问卷+平台访谈；获奖黑名单核对：近三年无网约车司机收入获奖题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🔶网约车抽成透明化规定（交通运输部）；🔶司机收入报道与数据（须下载核验）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