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845. “汽车后市场，4S店流失”——车主汽车保养渠道选择及服务信任调查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研究对象：出保/保内车主（对比保养渠道）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核心问题/变量：保养渠道选择（4S/途虎/路边店）、价格与服务透明、官方质保绑定顾虑、配件真伪信任、新能源保养特殊性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保养渠道选择（4S/途虎/路边店）、价格与服务透明（新能源保养特殊性）之间存在可检验的关系，且受群体差异（年龄/收入/地区/身份）调节（待验证）；H2：保养渠道选择（4S/途虎/路边店）、价格与服务透明是影响新能源保养特殊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🔶汽车后市场规范与连锁化政策（交通运输部）；🔶后市场规模数据（行业报告须下载核验）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车主社群问卷+汽修连锁访谈；获奖黑名单核对：近三年无汽车保养渠道获奖题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🔶汽车后市场规范与连锁化政策（交通运输部）；🔶后市场规模数据（行业报告须下载核验）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