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882. “高龄车年检新政，老车还能开吗”——老旧燃油车年检政策感知与置换新能源意愿研究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研究对象：拥有10年以上老旧燃油车的车主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核心问题/变量：老车年检难度（OBD/尾气）、强制报废与淘汰补贴、老车车况与养护成本、置换新能源意愿、政策感知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车年检难度（OBD/尾气）、强制报废与淘汰补贴（政策感知）之间存在可检验的关系，且受群体差异（年龄/收入/地区/身份）调节（待验证）；H2：老车年检难度（OBD/尾气）、强制报废与淘汰补贴是影响政策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🔶机动车排放与报废新规（生态环境部、商务部）；🔶老旧车淘汰数据（须下载核验）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检测场渠道+车主问卷；获奖黑名单核对：近三年无老旧车年检获奖题（区别于733年检泛题、641以旧换新）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🔶机动车排放与报废新规（生态环境部、商务部）；🔶老旧车淘汰数据（须下载核验）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