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894. “车险人伤理赔，维权难吗”——车险人伤理赔痛点与改进需求调查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研究对象：经历车险理赔（含人伤/定损争议）的车主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核心问题/变量：理赔流程（报案/定损/赔付）时长、定损金额争议（4S店vs保险）、人伤垫付协商、免赔/加费条款、满意度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理赔流程（报案/定损/赔付）时长、定损金额争议（4S店vs保险）（满意度）之间存在可检验的关系，且受群体差异（年龄/收入/地区/身份）调节（待验证）；H2：理赔流程（报案/定损/赔付）时长、定损金额争议（4S店vs保险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🔶车险综合改革政策（金融监管总局）；🔶车险理赔投诉数据（消协须下载核验）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车主社群问卷+定损员访谈；获奖黑名单核对：近三年无车险理赔获奖题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🔶车险综合改革政策（金融监管总局）；🔶车险理赔投诉数据（消协须下载核验）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