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08. “低空通勤，未来已来”——eVTOL 短途通勤服务接受度与付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高频跨区通勤者、商务出行者和机场旅客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通勤时间节约、安全信任、价格、噪声、起降点便利性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通勤时间节约、安全信任（起降点便利性。）之间存在可检验的关系，且受群体差异（年龄/收入/地区/身份）调节（待验证）；H2：通勤时间节约、安全信任是影响起降点便利性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5，低空经济政策解读与地方低空产业规划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使用情景图片和价格区间开展选择实验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5，低空经济政策解读与地方低空产业规划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