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909. “商用车换电，重卡补能”——物流企业对新能源重卡换电模式的需求调查与市场机会挖掘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研究对象：物流企业（重卡运营方）、换电站运营商、货车司机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核心问题/变量：重卡换电模式（电池租赁）、换电时长优势、换电站布局与成本、与传统加油/充电对比、推广障碍、政策补贴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重卡换电模式（电池租赁）、换电时长优势（政策补贴）之间存在可检验的关系，且受群体差异（年龄/收入/地区/身份）调节（待验证）；H2：重卡换电模式（电池租赁）、换电时长优势是影响政策补贴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🔶重卡换电试点政策（工信部、交通运输部）；🔶换电重卡数据（行业报告须下载核验）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物流企业问卷+换电运营商访谈；获奖黑名单核对：近三年无重卡换电获奖题（区别于606两轮换电）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🔶重卡换电试点政策（工信部、交通运输部）；🔶换电重卡数据（行业报告须下载核验）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