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962. “车辆召回调修，信任修复”——汽车召回（质量问题）车主体验与品牌信任修复研究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研究对象：经历车辆召回（缺陷/OTA升级）的车主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核心问题/变量：召回通知接收与4S店联系、缺陷问题（刹车/电池）、OTA升级（线上召回）体验、品牌信任影响、补偿感知、再购意愿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H1：召回通知接收与4S店联系、缺陷问题（刹车/电池）显著影响再购意愿（待验证）；H2：不同人群（年龄/收入/城市等级）在上述关系中存在调节作用（待验证）。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🔶汽车召回管理条例（市场监管总局）；🔶召回数据（国家缺陷产品管理中心须下载核验）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车主问卷+4S店访谈；获奖黑名单核对：近三年无汽车召回获奖题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🔶汽车召回管理条例（市场监管总局）；🔶召回数据（国家缺陷产品管理中心须下载核验）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