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981. “二手车出口，中国车再出海”——二手车出口海外市场需求与售后保障缺口调查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研究对象：二手车出口企业、海外买家、监管部门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核心问题/变量：二手车出口目的国（中亚/非洲/俄罗斯）、车源与检测、外汇与物流、海外售后缺失、政策支持（试点）、竞争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手车出口目的国（中亚/非洲/俄罗斯）、车源与检测（竞争）之间存在可检验的关系，且受群体差异（年龄/收入/地区/身份）调节（待验证）；H2：二手车出口目的国（中亚/非洲/俄罗斯）、车源与检测是影响竞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🔶二手车出口政策（商务部、公安部）；🔶出口数据（海关总署须下载核验）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出口企业访谈+商务部门数据；获奖黑名单核对：近三年无二手车出口获奖题（区别于811新车出口/762二手车金融）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🔶二手车出口政策（商务部、公安部）；🔶出口数据（海关总署须下载核验）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